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27419" w14:textId="77777777" w:rsidR="00FB2342" w:rsidRDefault="00FB2342">
      <w:pPr>
        <w:spacing w:after="0"/>
        <w:rPr>
          <w:rFonts w:eastAsia="Times New Roman" w:cs="Arial"/>
          <w:b/>
          <w:bCs/>
          <w:color w:val="000000"/>
          <w:szCs w:val="22"/>
          <w:lang w:eastAsia="sk-SK"/>
        </w:rPr>
      </w:pPr>
    </w:p>
    <w:p w14:paraId="3AFC8C38" w14:textId="6C5AA81E" w:rsidR="00FB2342" w:rsidRDefault="00DF7E95">
      <w:pPr>
        <w:spacing w:after="0"/>
        <w:jc w:val="center"/>
        <w:rPr>
          <w:rFonts w:cs="Calibri"/>
          <w:b/>
          <w:bCs/>
          <w:szCs w:val="22"/>
        </w:rPr>
      </w:pPr>
      <w:r>
        <w:rPr>
          <w:rFonts w:eastAsia="Times New Roman" w:cs="Arial"/>
          <w:b/>
          <w:bCs/>
          <w:color w:val="000000"/>
          <w:szCs w:val="22"/>
          <w:lang w:eastAsia="sk-SK"/>
        </w:rPr>
        <w:t>Zápisnica z</w:t>
      </w:r>
      <w:r w:rsidR="00A6135D">
        <w:rPr>
          <w:rFonts w:eastAsia="Times New Roman" w:cs="Arial"/>
          <w:b/>
          <w:bCs/>
          <w:color w:val="000000"/>
          <w:szCs w:val="22"/>
          <w:lang w:eastAsia="sk-SK"/>
        </w:rPr>
        <w:t xml:space="preserve"> </w:t>
      </w:r>
      <w:r>
        <w:rPr>
          <w:rFonts w:eastAsia="Times New Roman" w:cs="Arial"/>
          <w:b/>
          <w:bCs/>
          <w:color w:val="000000"/>
          <w:szCs w:val="22"/>
          <w:lang w:eastAsia="sk-SK"/>
        </w:rPr>
        <w:t>p</w:t>
      </w:r>
      <w:r w:rsidR="00A6135D">
        <w:rPr>
          <w:rFonts w:cs="Calibri"/>
          <w:b/>
          <w:bCs/>
          <w:szCs w:val="22"/>
        </w:rPr>
        <w:t>rípravných trhových konzultáci</w:t>
      </w:r>
      <w:r w:rsidR="00C6662D">
        <w:rPr>
          <w:rFonts w:cs="Calibri"/>
          <w:b/>
          <w:bCs/>
          <w:szCs w:val="22"/>
        </w:rPr>
        <w:t>í</w:t>
      </w:r>
    </w:p>
    <w:p w14:paraId="059C0F79" w14:textId="77777777" w:rsidR="00FB2342" w:rsidRDefault="00A6135D">
      <w:pPr>
        <w:spacing w:after="0"/>
        <w:jc w:val="center"/>
        <w:rPr>
          <w:rFonts w:cs="Arial"/>
          <w:szCs w:val="22"/>
        </w:rPr>
      </w:pPr>
      <w:r>
        <w:rPr>
          <w:rFonts w:cs="Arial"/>
          <w:szCs w:val="22"/>
        </w:rPr>
        <w:t xml:space="preserve">k pripravovanému verejnému obstarávaniu s názvom: </w:t>
      </w:r>
    </w:p>
    <w:p w14:paraId="03B1F7BB" w14:textId="77777777" w:rsidR="00D00CD5" w:rsidRPr="00EA779E" w:rsidRDefault="00D00CD5" w:rsidP="00D00CD5">
      <w:pPr>
        <w:pStyle w:val="ListParagraph"/>
        <w:jc w:val="center"/>
        <w:rPr>
          <w:rFonts w:cs="Arial"/>
          <w:b/>
          <w:bCs/>
          <w:szCs w:val="22"/>
        </w:rPr>
      </w:pPr>
      <w:bookmarkStart w:id="0" w:name="_Hlk214967793"/>
      <w:r w:rsidRPr="00EA779E">
        <w:rPr>
          <w:b/>
          <w:bCs/>
          <w:szCs w:val="22"/>
        </w:rPr>
        <w:t>Nákup a servis multifunkčných tlačových zariadení</w:t>
      </w:r>
      <w:r w:rsidRPr="00EA779E">
        <w:rPr>
          <w:b/>
          <w:szCs w:val="22"/>
        </w:rPr>
        <w:t xml:space="preserve"> </w:t>
      </w:r>
      <w:r w:rsidRPr="00EA779E">
        <w:rPr>
          <w:rFonts w:cstheme="minorHAnsi"/>
          <w:b/>
          <w:szCs w:val="22"/>
        </w:rPr>
        <w:t xml:space="preserve"> </w:t>
      </w:r>
    </w:p>
    <w:bookmarkEnd w:id="0"/>
    <w:p w14:paraId="4F0A413D" w14:textId="09CBEF64" w:rsidR="00FB2342" w:rsidRDefault="00FB2342">
      <w:pPr>
        <w:spacing w:after="0"/>
        <w:jc w:val="center"/>
        <w:rPr>
          <w:rFonts w:cs="Times New Roman"/>
          <w:b/>
          <w:bCs/>
          <w:szCs w:val="22"/>
        </w:rPr>
      </w:pPr>
    </w:p>
    <w:p w14:paraId="5775A869" w14:textId="77777777" w:rsidR="00FB2342" w:rsidRDefault="00FB2342">
      <w:pPr>
        <w:spacing w:after="0"/>
        <w:jc w:val="center"/>
        <w:rPr>
          <w:rFonts w:eastAsia="Times New Roman" w:cs="Times New Roman"/>
          <w:b/>
          <w:bCs/>
          <w:szCs w:val="22"/>
        </w:rPr>
      </w:pPr>
    </w:p>
    <w:p w14:paraId="57CAA985" w14:textId="77777777" w:rsidR="00FB2342" w:rsidRDefault="00FB2342">
      <w:pPr>
        <w:spacing w:after="0"/>
        <w:jc w:val="center"/>
        <w:rPr>
          <w:rFonts w:eastAsia="Times New Roman" w:cs="Times New Roman"/>
          <w:b/>
          <w:bCs/>
          <w:szCs w:val="22"/>
        </w:rPr>
      </w:pPr>
    </w:p>
    <w:p w14:paraId="14D64A4E" w14:textId="4475A26F" w:rsidR="00FB2342" w:rsidRDefault="00DF7E95">
      <w:pPr>
        <w:spacing w:after="0"/>
        <w:rPr>
          <w:rFonts w:eastAsia="Times New Roman" w:cs="Times New Roman"/>
          <w:b/>
          <w:bCs/>
          <w:szCs w:val="22"/>
        </w:rPr>
      </w:pPr>
      <w:r>
        <w:rPr>
          <w:rFonts w:eastAsia="Times New Roman" w:cs="Times New Roman"/>
          <w:b/>
          <w:bCs/>
          <w:szCs w:val="22"/>
        </w:rPr>
        <w:t>Hospodársky subjekt/účastník</w:t>
      </w:r>
      <w:r w:rsidR="00A6135D">
        <w:rPr>
          <w:rFonts w:eastAsia="Times New Roman" w:cs="Times New Roman"/>
          <w:b/>
          <w:bCs/>
          <w:szCs w:val="22"/>
        </w:rPr>
        <w:tab/>
      </w:r>
      <w:r w:rsidR="00A6135D">
        <w:rPr>
          <w:rFonts w:eastAsia="Times New Roman" w:cs="Times New Roman"/>
          <w:b/>
          <w:bCs/>
          <w:szCs w:val="22"/>
        </w:rPr>
        <w:tab/>
      </w:r>
      <w:r w:rsidR="00A6135D">
        <w:rPr>
          <w:rFonts w:eastAsia="Times New Roman" w:cs="Times New Roman"/>
          <w:b/>
          <w:bCs/>
          <w:szCs w:val="22"/>
        </w:rPr>
        <w:tab/>
      </w:r>
      <w:r w:rsidR="000001A6">
        <w:rPr>
          <w:rFonts w:eastAsia="Times New Roman" w:cs="Times New Roman"/>
          <w:b/>
          <w:bCs/>
          <w:szCs w:val="22"/>
        </w:rPr>
        <w:t>xxxxxxxx</w:t>
      </w:r>
      <w:r w:rsidR="00F05B76">
        <w:rPr>
          <w:rFonts w:eastAsia="Times New Roman" w:cs="Times New Roman"/>
          <w:b/>
          <w:bCs/>
          <w:szCs w:val="22"/>
        </w:rPr>
        <w:t xml:space="preserve"> </w:t>
      </w:r>
      <w:r w:rsidR="00D00CD5">
        <w:rPr>
          <w:rFonts w:eastAsia="Times New Roman" w:cs="Times New Roman"/>
          <w:b/>
          <w:bCs/>
          <w:szCs w:val="22"/>
        </w:rPr>
        <w:t xml:space="preserve"> </w:t>
      </w:r>
    </w:p>
    <w:p w14:paraId="7BED56E4" w14:textId="0059081B" w:rsidR="00FB2342" w:rsidRDefault="00DF7E95">
      <w:pPr>
        <w:spacing w:after="0"/>
        <w:rPr>
          <w:rFonts w:eastAsia="Times New Roman" w:cs="Times New Roman"/>
          <w:b/>
          <w:bCs/>
          <w:szCs w:val="22"/>
        </w:rPr>
      </w:pPr>
      <w:r>
        <w:rPr>
          <w:rFonts w:eastAsia="Times New Roman" w:cs="Times New Roman"/>
          <w:b/>
          <w:bCs/>
          <w:szCs w:val="22"/>
        </w:rPr>
        <w:t xml:space="preserve">Dátum a čas: </w:t>
      </w:r>
      <w:bookmarkStart w:id="1" w:name="_Hlk534806348"/>
      <w:r>
        <w:rPr>
          <w:rFonts w:eastAsia="Times New Roman" w:cs="Times New Roman"/>
          <w:b/>
          <w:bCs/>
          <w:szCs w:val="22"/>
        </w:rPr>
        <w:tab/>
      </w:r>
      <w:r>
        <w:rPr>
          <w:rFonts w:eastAsia="Times New Roman" w:cs="Times New Roman"/>
          <w:b/>
          <w:bCs/>
          <w:szCs w:val="22"/>
        </w:rPr>
        <w:tab/>
      </w:r>
      <w:r>
        <w:rPr>
          <w:rFonts w:eastAsia="Times New Roman" w:cs="Times New Roman"/>
          <w:b/>
          <w:bCs/>
          <w:szCs w:val="22"/>
        </w:rPr>
        <w:tab/>
      </w:r>
      <w:r>
        <w:rPr>
          <w:rFonts w:eastAsia="Times New Roman" w:cs="Times New Roman"/>
          <w:b/>
          <w:bCs/>
          <w:szCs w:val="22"/>
        </w:rPr>
        <w:tab/>
      </w:r>
      <w:r w:rsidR="00A6135D">
        <w:rPr>
          <w:rFonts w:eastAsia="Times New Roman" w:cs="Times New Roman"/>
          <w:b/>
          <w:bCs/>
          <w:szCs w:val="22"/>
        </w:rPr>
        <w:tab/>
      </w:r>
      <w:r w:rsidR="00A6135D">
        <w:rPr>
          <w:rFonts w:eastAsia="Times New Roman" w:cs="Times New Roman"/>
          <w:b/>
          <w:bCs/>
          <w:szCs w:val="22"/>
        </w:rPr>
        <w:tab/>
      </w:r>
      <w:bookmarkEnd w:id="1"/>
      <w:r w:rsidR="00F05B76">
        <w:rPr>
          <w:rFonts w:eastAsia="Times New Roman" w:cs="Times New Roman"/>
          <w:b/>
          <w:bCs/>
          <w:szCs w:val="22"/>
        </w:rPr>
        <w:t>26</w:t>
      </w:r>
      <w:r>
        <w:rPr>
          <w:rFonts w:eastAsia="Times New Roman" w:cs="Times New Roman"/>
          <w:b/>
          <w:bCs/>
          <w:szCs w:val="22"/>
        </w:rPr>
        <w:t>.</w:t>
      </w:r>
      <w:r w:rsidR="00D00CD5">
        <w:rPr>
          <w:rFonts w:eastAsia="Times New Roman" w:cs="Times New Roman"/>
          <w:b/>
          <w:bCs/>
          <w:szCs w:val="22"/>
        </w:rPr>
        <w:t>03</w:t>
      </w:r>
      <w:r>
        <w:rPr>
          <w:rFonts w:eastAsia="Times New Roman" w:cs="Times New Roman"/>
          <w:b/>
          <w:bCs/>
          <w:szCs w:val="22"/>
        </w:rPr>
        <w:t>.202</w:t>
      </w:r>
      <w:r w:rsidR="00D00CD5">
        <w:rPr>
          <w:rFonts w:eastAsia="Times New Roman" w:cs="Times New Roman"/>
          <w:b/>
          <w:bCs/>
          <w:szCs w:val="22"/>
        </w:rPr>
        <w:t>6</w:t>
      </w:r>
      <w:r>
        <w:rPr>
          <w:rFonts w:eastAsia="Times New Roman" w:cs="Times New Roman"/>
          <w:b/>
          <w:bCs/>
          <w:szCs w:val="22"/>
        </w:rPr>
        <w:t xml:space="preserve">,  9.00 h </w:t>
      </w:r>
    </w:p>
    <w:p w14:paraId="5B2B70BF" w14:textId="436F14CD" w:rsidR="00FB2342" w:rsidRDefault="00DF7E95">
      <w:pPr>
        <w:spacing w:after="0"/>
        <w:rPr>
          <w:rFonts w:eastAsia="Times New Roman" w:cs="Times New Roman"/>
          <w:b/>
          <w:bCs/>
          <w:szCs w:val="22"/>
        </w:rPr>
      </w:pPr>
      <w:r>
        <w:rPr>
          <w:rFonts w:eastAsia="Times New Roman" w:cs="Times New Roman"/>
          <w:b/>
          <w:bCs/>
          <w:szCs w:val="22"/>
        </w:rPr>
        <w:t>Prítomní</w:t>
      </w:r>
      <w:r w:rsidR="00A6135D">
        <w:rPr>
          <w:rFonts w:eastAsia="Times New Roman" w:cs="Times New Roman"/>
          <w:b/>
          <w:bCs/>
          <w:szCs w:val="22"/>
        </w:rPr>
        <w:t xml:space="preserve">: </w:t>
      </w:r>
      <w:r w:rsidR="00A6135D">
        <w:rPr>
          <w:rFonts w:eastAsia="Times New Roman" w:cs="Times New Roman"/>
          <w:b/>
          <w:bCs/>
          <w:szCs w:val="22"/>
        </w:rPr>
        <w:tab/>
      </w:r>
      <w:r w:rsidR="00A6135D">
        <w:rPr>
          <w:rFonts w:eastAsia="Times New Roman" w:cs="Times New Roman"/>
          <w:b/>
          <w:bCs/>
          <w:szCs w:val="22"/>
        </w:rPr>
        <w:tab/>
      </w:r>
      <w:r w:rsidR="00A6135D">
        <w:rPr>
          <w:rFonts w:eastAsia="Times New Roman" w:cs="Times New Roman"/>
          <w:b/>
          <w:bCs/>
          <w:szCs w:val="22"/>
        </w:rPr>
        <w:tab/>
      </w:r>
      <w:r w:rsidR="00A6135D">
        <w:rPr>
          <w:rFonts w:eastAsia="Times New Roman" w:cs="Times New Roman"/>
          <w:b/>
          <w:bCs/>
          <w:szCs w:val="22"/>
        </w:rPr>
        <w:tab/>
      </w:r>
      <w:r w:rsidR="00A6135D">
        <w:rPr>
          <w:rFonts w:eastAsia="Times New Roman" w:cs="Times New Roman"/>
          <w:b/>
          <w:bCs/>
          <w:szCs w:val="22"/>
        </w:rPr>
        <w:tab/>
      </w:r>
      <w:r w:rsidR="00A6135D">
        <w:rPr>
          <w:rFonts w:eastAsia="Times New Roman" w:cs="Times New Roman"/>
          <w:b/>
          <w:bCs/>
          <w:szCs w:val="22"/>
        </w:rPr>
        <w:tab/>
      </w:r>
      <w:r>
        <w:rPr>
          <w:rFonts w:eastAsia="Times New Roman" w:cs="Times New Roman"/>
          <w:b/>
          <w:bCs/>
          <w:szCs w:val="22"/>
        </w:rPr>
        <w:t xml:space="preserve">prezenčná listina </w:t>
      </w:r>
    </w:p>
    <w:p w14:paraId="1C568DA5" w14:textId="77777777" w:rsidR="00FB2342" w:rsidRDefault="00FB2342">
      <w:pPr>
        <w:spacing w:after="0"/>
        <w:rPr>
          <w:rFonts w:eastAsia="Times New Roman" w:cs="Times New Roman"/>
          <w:b/>
          <w:bCs/>
          <w:szCs w:val="22"/>
        </w:rPr>
      </w:pPr>
      <w:bookmarkStart w:id="2" w:name="_Hlk102546874"/>
      <w:bookmarkEnd w:id="2"/>
    </w:p>
    <w:p w14:paraId="3F84AB83" w14:textId="77777777" w:rsidR="00FB2342" w:rsidRDefault="00FB2342">
      <w:pPr>
        <w:spacing w:after="0"/>
        <w:rPr>
          <w:szCs w:val="22"/>
        </w:rPr>
      </w:pPr>
    </w:p>
    <w:tbl>
      <w:tblPr>
        <w:tblStyle w:val="TableGrid"/>
        <w:tblW w:w="8794" w:type="dxa"/>
        <w:jc w:val="center"/>
        <w:tblLayout w:type="fixed"/>
        <w:tblLook w:val="04A0" w:firstRow="1" w:lastRow="0" w:firstColumn="1" w:lastColumn="0" w:noHBand="0" w:noVBand="1"/>
      </w:tblPr>
      <w:tblGrid>
        <w:gridCol w:w="3970"/>
        <w:gridCol w:w="4824"/>
      </w:tblGrid>
      <w:tr w:rsidR="00D00CD5" w14:paraId="282E6E26" w14:textId="376EAE4B" w:rsidTr="00D00CD5">
        <w:trPr>
          <w:jc w:val="center"/>
        </w:trPr>
        <w:tc>
          <w:tcPr>
            <w:tcW w:w="3970" w:type="dxa"/>
            <w:vAlign w:val="center"/>
          </w:tcPr>
          <w:p w14:paraId="2F615674" w14:textId="4521E823" w:rsidR="00D00CD5" w:rsidRDefault="00D00CD5">
            <w:pPr>
              <w:spacing w:after="0"/>
              <w:jc w:val="center"/>
              <w:rPr>
                <w:b/>
                <w:bCs/>
                <w:color w:val="000000"/>
                <w:szCs w:val="22"/>
              </w:rPr>
            </w:pPr>
            <w:r>
              <w:rPr>
                <w:rFonts w:eastAsia="Calibri"/>
                <w:b/>
                <w:bCs/>
                <w:color w:val="000000"/>
                <w:szCs w:val="22"/>
              </w:rPr>
              <w:t>Otázky verejného obstarávateľa</w:t>
            </w:r>
          </w:p>
        </w:tc>
        <w:tc>
          <w:tcPr>
            <w:tcW w:w="4824" w:type="dxa"/>
          </w:tcPr>
          <w:p w14:paraId="2C214EA9" w14:textId="4275260F" w:rsidR="00D00CD5" w:rsidRDefault="00D00CD5">
            <w:pPr>
              <w:spacing w:after="0"/>
              <w:jc w:val="center"/>
              <w:rPr>
                <w:rFonts w:eastAsia="Calibri"/>
                <w:b/>
                <w:bCs/>
                <w:szCs w:val="22"/>
              </w:rPr>
            </w:pPr>
            <w:r>
              <w:rPr>
                <w:rFonts w:eastAsia="Calibri"/>
                <w:b/>
                <w:bCs/>
                <w:szCs w:val="22"/>
              </w:rPr>
              <w:t xml:space="preserve">Odpovede účastníka na osobnej účasti </w:t>
            </w:r>
          </w:p>
        </w:tc>
      </w:tr>
      <w:tr w:rsidR="00D00CD5" w14:paraId="3EDABB64" w14:textId="14D373F3" w:rsidTr="00D00CD5">
        <w:trPr>
          <w:jc w:val="center"/>
        </w:trPr>
        <w:tc>
          <w:tcPr>
            <w:tcW w:w="3970" w:type="dxa"/>
            <w:vAlign w:val="center"/>
          </w:tcPr>
          <w:p w14:paraId="47D6C7F4" w14:textId="06030B20" w:rsidR="00D00CD5" w:rsidRDefault="00D00CD5">
            <w:pPr>
              <w:spacing w:after="0"/>
              <w:rPr>
                <w:color w:val="000000"/>
                <w:szCs w:val="22"/>
              </w:rPr>
            </w:pPr>
            <w:r w:rsidRPr="00D00CD5">
              <w:rPr>
                <w:color w:val="000000"/>
                <w:szCs w:val="22"/>
              </w:rPr>
              <w:t>Popíšte vaše riešenie pre monitoring a správu tlačových služieb.</w:t>
            </w:r>
            <w:r w:rsidRPr="00D00CD5">
              <w:rPr>
                <w:color w:val="000000"/>
                <w:szCs w:val="22"/>
              </w:rPr>
              <w:br/>
              <w:t>Uveďte, či ide o jedno integrované riešenie alebo kombináciu viacerých softvérových nástrojov (vrátane názvov/ značiek). V prípade možnosti priložte aj stručnú ukážku alebo popis funkcionalít</w:t>
            </w:r>
            <w:r>
              <w:rPr>
                <w:color w:val="000000"/>
                <w:szCs w:val="22"/>
              </w:rPr>
              <w:t>.</w:t>
            </w:r>
          </w:p>
        </w:tc>
        <w:tc>
          <w:tcPr>
            <w:tcW w:w="4824" w:type="dxa"/>
          </w:tcPr>
          <w:p w14:paraId="15FA6028" w14:textId="1B44E846" w:rsidR="00C81E35" w:rsidRPr="00472692" w:rsidRDefault="00C81E35" w:rsidP="00C81E35">
            <w:pPr>
              <w:spacing w:after="0"/>
              <w:rPr>
                <w:rFonts w:eastAsia="Calibri"/>
                <w:szCs w:val="22"/>
              </w:rPr>
            </w:pPr>
            <w:r w:rsidRPr="00472692">
              <w:rPr>
                <w:rFonts w:eastAsia="Calibri"/>
                <w:szCs w:val="22"/>
              </w:rPr>
              <w:t>Používame riešenia tretích strán a máme skúsenosti so systémom MyQ</w:t>
            </w:r>
            <w:r w:rsidR="004E40DA" w:rsidRPr="00472692">
              <w:rPr>
                <w:rFonts w:eastAsia="Calibri"/>
                <w:szCs w:val="22"/>
              </w:rPr>
              <w:t>, SafeQ a Optimidoc</w:t>
            </w:r>
            <w:r w:rsidRPr="00472692">
              <w:rPr>
                <w:rFonts w:eastAsia="Calibri"/>
                <w:szCs w:val="22"/>
              </w:rPr>
              <w:t xml:space="preserve">, </w:t>
            </w:r>
            <w:r w:rsidR="00923B15" w:rsidRPr="00472692">
              <w:rPr>
                <w:rFonts w:eastAsia="Calibri"/>
                <w:szCs w:val="22"/>
              </w:rPr>
              <w:t xml:space="preserve">ktoré sú </w:t>
            </w:r>
            <w:r w:rsidRPr="00472692">
              <w:rPr>
                <w:rFonts w:eastAsia="Calibri"/>
                <w:szCs w:val="22"/>
              </w:rPr>
              <w:t xml:space="preserve">užívateľsky </w:t>
            </w:r>
            <w:r w:rsidR="00923B15" w:rsidRPr="00472692">
              <w:rPr>
                <w:rFonts w:eastAsia="Calibri"/>
                <w:szCs w:val="22"/>
              </w:rPr>
              <w:t xml:space="preserve">prívetivé </w:t>
            </w:r>
            <w:r w:rsidRPr="00472692">
              <w:rPr>
                <w:rFonts w:eastAsia="Calibri"/>
                <w:szCs w:val="22"/>
              </w:rPr>
              <w:t>najmä pre administrátorov. V prípade problémov vieme zabezpečiť aj podporu vo vlastnej réžii.</w:t>
            </w:r>
          </w:p>
          <w:p w14:paraId="4147A963" w14:textId="77777777" w:rsidR="00C81E35" w:rsidRPr="00472692" w:rsidRDefault="00C81E35" w:rsidP="00C81E35">
            <w:pPr>
              <w:spacing w:after="0"/>
              <w:rPr>
                <w:rFonts w:eastAsia="Calibri"/>
                <w:szCs w:val="22"/>
              </w:rPr>
            </w:pPr>
            <w:r w:rsidRPr="00472692">
              <w:rPr>
                <w:rFonts w:eastAsia="Calibri"/>
                <w:szCs w:val="22"/>
              </w:rPr>
              <w:t>Aktualizácie a upgrady najskôr testujeme u nás a až následne ich nasadzujeme u klientov. V rámci MyQ je možné vytvárať reporty až na úroveň jednotlivých oddelení a takisto zabezpečiť monitoring hardvéru.</w:t>
            </w:r>
          </w:p>
          <w:p w14:paraId="753A170C" w14:textId="5A3B34CB" w:rsidR="00C81E35" w:rsidRPr="00472692" w:rsidRDefault="00C81E35" w:rsidP="00C81E35">
            <w:pPr>
              <w:spacing w:after="0"/>
              <w:rPr>
                <w:rFonts w:eastAsia="Calibri"/>
                <w:szCs w:val="22"/>
              </w:rPr>
            </w:pPr>
            <w:r w:rsidRPr="00472692">
              <w:rPr>
                <w:rFonts w:eastAsia="Calibri"/>
                <w:szCs w:val="22"/>
              </w:rPr>
              <w:t>V prípade, že by toto riešenie nevyhovovalo, spoločnosť Kyocera ponúka aj vlastné natívne riešenie pre svoje zariadenia.</w:t>
            </w:r>
            <w:r w:rsidR="00923B15" w:rsidRPr="00472692">
              <w:rPr>
                <w:rFonts w:eastAsia="Calibri"/>
                <w:szCs w:val="22"/>
              </w:rPr>
              <w:t xml:space="preserve"> Tiež Lexmark ako jedna z našich značiek taktiež ponúka svoje natívne riešenie napr. CFM, Lexmark MPS a pod.</w:t>
            </w:r>
          </w:p>
          <w:p w14:paraId="0F1400DB" w14:textId="4814E04D" w:rsidR="00FE1994" w:rsidRPr="00472692" w:rsidRDefault="00C81E35" w:rsidP="004A05A0">
            <w:pPr>
              <w:spacing w:after="0"/>
              <w:rPr>
                <w:rFonts w:eastAsia="Calibri"/>
                <w:szCs w:val="22"/>
              </w:rPr>
            </w:pPr>
            <w:r w:rsidRPr="00472692">
              <w:rPr>
                <w:rFonts w:eastAsia="Calibri"/>
                <w:szCs w:val="22"/>
              </w:rPr>
              <w:t>Okrem toho využívame aj monitoring od tretích strán, kde si sami sledujeme vyťaženosť systémov.</w:t>
            </w:r>
            <w:r w:rsidR="00702657" w:rsidRPr="00472692">
              <w:rPr>
                <w:rFonts w:eastAsia="Calibri"/>
                <w:szCs w:val="22"/>
              </w:rPr>
              <w:t xml:space="preserve"> </w:t>
            </w:r>
          </w:p>
        </w:tc>
      </w:tr>
      <w:tr w:rsidR="00D00CD5" w14:paraId="49C37859" w14:textId="0D71814B" w:rsidTr="00D00CD5">
        <w:trPr>
          <w:jc w:val="center"/>
        </w:trPr>
        <w:tc>
          <w:tcPr>
            <w:tcW w:w="3970" w:type="dxa"/>
            <w:vAlign w:val="center"/>
          </w:tcPr>
          <w:p w14:paraId="5D913A58" w14:textId="69A00BED" w:rsidR="00D00CD5" w:rsidRPr="00D00CD5" w:rsidRDefault="00D00CD5" w:rsidP="00D00CD5">
            <w:pPr>
              <w:spacing w:after="0"/>
              <w:rPr>
                <w:rFonts w:eastAsia="Cambria" w:cs="Cambria"/>
                <w:szCs w:val="22"/>
              </w:rPr>
            </w:pPr>
            <w:r w:rsidRPr="00D00CD5">
              <w:rPr>
                <w:rFonts w:eastAsia="Calibri"/>
                <w:szCs w:val="22"/>
              </w:rPr>
              <w:t>Akým spôsobom zabezpečujete dlhodobú kompatibilitu medzi softvérovým riešením a hardvérovými zariadeniami (tlačiarne, čítačky kariet), najmä pri aktualizáciách alebo upgrade systémov</w:t>
            </w:r>
            <w:r w:rsidR="009C5693">
              <w:rPr>
                <w:rFonts w:eastAsia="Calibri"/>
                <w:szCs w:val="22"/>
              </w:rPr>
              <w:t xml:space="preserve"> </w:t>
            </w:r>
            <w:r w:rsidRPr="00D00CD5">
              <w:rPr>
                <w:rFonts w:eastAsia="Calibri"/>
                <w:szCs w:val="22"/>
              </w:rPr>
              <w:t>?</w:t>
            </w:r>
          </w:p>
        </w:tc>
        <w:tc>
          <w:tcPr>
            <w:tcW w:w="4824" w:type="dxa"/>
          </w:tcPr>
          <w:p w14:paraId="5679C268" w14:textId="22AB85C3" w:rsidR="00D00CD5" w:rsidRPr="00472692" w:rsidRDefault="00C81E35" w:rsidP="00C81E35">
            <w:pPr>
              <w:spacing w:after="0"/>
              <w:rPr>
                <w:rFonts w:eastAsia="Calibri"/>
                <w:szCs w:val="22"/>
              </w:rPr>
            </w:pPr>
            <w:r w:rsidRPr="00472692">
              <w:rPr>
                <w:rFonts w:eastAsia="Calibri"/>
                <w:szCs w:val="22"/>
              </w:rPr>
              <w:t xml:space="preserve">Značka Kyocera je plne kompatibilná so systémom MyQ, keďže v minulosti </w:t>
            </w:r>
            <w:r w:rsidR="009C73F4" w:rsidRPr="00472692">
              <w:rPr>
                <w:rFonts w:eastAsia="Calibri"/>
                <w:szCs w:val="22"/>
              </w:rPr>
              <w:t xml:space="preserve">bol systém vyvíjaný na zariadeniach </w:t>
            </w:r>
            <w:r w:rsidRPr="00472692">
              <w:rPr>
                <w:rFonts w:eastAsia="Calibri"/>
                <w:szCs w:val="22"/>
              </w:rPr>
              <w:t>spoločnos</w:t>
            </w:r>
            <w:r w:rsidR="009C73F4" w:rsidRPr="00472692">
              <w:rPr>
                <w:rFonts w:eastAsia="Calibri"/>
                <w:szCs w:val="22"/>
              </w:rPr>
              <w:t>ti</w:t>
            </w:r>
            <w:r w:rsidR="00923B15" w:rsidRPr="00472692">
              <w:rPr>
                <w:rFonts w:eastAsia="Calibri"/>
                <w:szCs w:val="22"/>
              </w:rPr>
              <w:t>T</w:t>
            </w:r>
            <w:r w:rsidR="004E40DA" w:rsidRPr="00472692">
              <w:rPr>
                <w:rFonts w:eastAsia="Calibri"/>
                <w:szCs w:val="22"/>
              </w:rPr>
              <w:t>aktiež značka Lexmark je plne kompatibilná so systémami MyQ, Op</w:t>
            </w:r>
            <w:r w:rsidR="00F56342" w:rsidRPr="00472692">
              <w:rPr>
                <w:rFonts w:eastAsia="Calibri"/>
                <w:szCs w:val="22"/>
              </w:rPr>
              <w:t>ti</w:t>
            </w:r>
            <w:r w:rsidR="004E40DA" w:rsidRPr="00472692">
              <w:rPr>
                <w:rFonts w:eastAsia="Calibri"/>
                <w:szCs w:val="22"/>
              </w:rPr>
              <w:t>midoc, SafeQ</w:t>
            </w:r>
          </w:p>
        </w:tc>
      </w:tr>
      <w:tr w:rsidR="00D00CD5" w14:paraId="6B6D1B51" w14:textId="1823F769" w:rsidTr="00D00CD5">
        <w:trPr>
          <w:jc w:val="center"/>
        </w:trPr>
        <w:tc>
          <w:tcPr>
            <w:tcW w:w="3970" w:type="dxa"/>
            <w:vAlign w:val="center"/>
          </w:tcPr>
          <w:p w14:paraId="1E47B6B6" w14:textId="76DF2345" w:rsidR="00D00CD5" w:rsidRPr="00B209CB" w:rsidRDefault="00D00CD5">
            <w:pPr>
              <w:spacing w:after="0"/>
              <w:rPr>
                <w:color w:val="000000" w:themeColor="text1"/>
                <w:szCs w:val="22"/>
              </w:rPr>
            </w:pPr>
            <w:r w:rsidRPr="00D00CD5">
              <w:rPr>
                <w:rFonts w:eastAsia="Calibri"/>
                <w:color w:val="000000" w:themeColor="text1"/>
                <w:szCs w:val="22"/>
              </w:rPr>
              <w:t>Sú čítačky kariet dodávané ako natívna súčasť tlačových zariadení, alebo ide o riešenie od tretej strany (iného výrobcu ako tlačiareň)</w:t>
            </w:r>
            <w:r w:rsidR="009C5693">
              <w:rPr>
                <w:rFonts w:eastAsia="Calibri"/>
                <w:color w:val="000000" w:themeColor="text1"/>
                <w:szCs w:val="22"/>
              </w:rPr>
              <w:t xml:space="preserve"> </w:t>
            </w:r>
            <w:r w:rsidRPr="00D00CD5">
              <w:rPr>
                <w:rFonts w:eastAsia="Calibri"/>
                <w:color w:val="000000" w:themeColor="text1"/>
                <w:szCs w:val="22"/>
              </w:rPr>
              <w:t xml:space="preserve">? </w:t>
            </w:r>
          </w:p>
        </w:tc>
        <w:tc>
          <w:tcPr>
            <w:tcW w:w="4824" w:type="dxa"/>
          </w:tcPr>
          <w:p w14:paraId="36D732A3" w14:textId="711322C2" w:rsidR="00D00CD5" w:rsidRPr="00472692" w:rsidRDefault="00C81E35">
            <w:pPr>
              <w:spacing w:after="0"/>
              <w:rPr>
                <w:rFonts w:eastAsia="Calibri"/>
                <w:szCs w:val="22"/>
              </w:rPr>
            </w:pPr>
            <w:r w:rsidRPr="00472692">
              <w:rPr>
                <w:rFonts w:eastAsia="Calibri"/>
                <w:szCs w:val="22"/>
              </w:rPr>
              <w:t>Čítačky dodáva náš dodávateľ softvéru MyQ a v praxi s nimi neevidujeme žiadne problémy.</w:t>
            </w:r>
            <w:r w:rsidR="00702657" w:rsidRPr="00472692">
              <w:rPr>
                <w:rFonts w:eastAsia="Calibri"/>
                <w:szCs w:val="22"/>
              </w:rPr>
              <w:t xml:space="preserve"> Lexmark má plnú kompatibilitu čítačiek kariet tretích strán</w:t>
            </w:r>
          </w:p>
        </w:tc>
      </w:tr>
      <w:tr w:rsidR="00D2762B" w14:paraId="5A354E98" w14:textId="77777777" w:rsidTr="00D00CD5">
        <w:trPr>
          <w:jc w:val="center"/>
        </w:trPr>
        <w:tc>
          <w:tcPr>
            <w:tcW w:w="3970" w:type="dxa"/>
            <w:vAlign w:val="center"/>
          </w:tcPr>
          <w:p w14:paraId="587FA9E7" w14:textId="3BF66721" w:rsidR="00D2762B" w:rsidRPr="00D2762B" w:rsidRDefault="00D2762B">
            <w:pPr>
              <w:spacing w:after="0"/>
              <w:rPr>
                <w:rFonts w:eastAsia="Calibri"/>
                <w:szCs w:val="22"/>
              </w:rPr>
            </w:pPr>
            <w:r w:rsidRPr="00D00CD5">
              <w:rPr>
                <w:rFonts w:eastAsia="Calibri"/>
                <w:szCs w:val="22"/>
              </w:rPr>
              <w:t>Je pre vás akceptovateľná zmluva o správe zariadení na obdobie 72 mesiacov</w:t>
            </w:r>
            <w:r w:rsidR="009C5693">
              <w:rPr>
                <w:rFonts w:eastAsia="Calibri"/>
                <w:szCs w:val="22"/>
              </w:rPr>
              <w:t xml:space="preserve"> </w:t>
            </w:r>
            <w:r w:rsidRPr="00D00CD5">
              <w:rPr>
                <w:rFonts w:eastAsia="Calibri"/>
                <w:szCs w:val="22"/>
              </w:rPr>
              <w:t>?</w:t>
            </w:r>
          </w:p>
        </w:tc>
        <w:tc>
          <w:tcPr>
            <w:tcW w:w="4824" w:type="dxa"/>
          </w:tcPr>
          <w:p w14:paraId="34A5DDA8" w14:textId="4C47607B" w:rsidR="00D2762B" w:rsidRPr="00C81E35" w:rsidRDefault="00D2762B">
            <w:pPr>
              <w:spacing w:after="0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Účastník potvrdzuje, že zmluva o správe zariadení na obdobie 72 mesiacov je pre neho  akceptovateľná.</w:t>
            </w:r>
          </w:p>
        </w:tc>
      </w:tr>
    </w:tbl>
    <w:p w14:paraId="09648FBA" w14:textId="77777777" w:rsidR="00472692" w:rsidRDefault="00472692">
      <w:pPr>
        <w:spacing w:after="0"/>
        <w:rPr>
          <w:szCs w:val="22"/>
        </w:rPr>
      </w:pPr>
    </w:p>
    <w:p w14:paraId="4CAF7155" w14:textId="77777777" w:rsidR="00472692" w:rsidRDefault="00472692">
      <w:pPr>
        <w:spacing w:after="0" w:line="240" w:lineRule="auto"/>
        <w:rPr>
          <w:szCs w:val="22"/>
        </w:rPr>
      </w:pPr>
      <w:r>
        <w:rPr>
          <w:szCs w:val="22"/>
        </w:rPr>
        <w:br w:type="page"/>
      </w:r>
    </w:p>
    <w:p w14:paraId="2216E820" w14:textId="71EA82F9" w:rsidR="00C6662D" w:rsidRDefault="0018641F">
      <w:pPr>
        <w:spacing w:after="0"/>
        <w:rPr>
          <w:szCs w:val="22"/>
        </w:rPr>
      </w:pPr>
      <w:r>
        <w:rPr>
          <w:szCs w:val="22"/>
        </w:rPr>
        <w:lastRenderedPageBreak/>
        <w:t xml:space="preserve">Účastník odporučil: </w:t>
      </w:r>
    </w:p>
    <w:p w14:paraId="374BC059" w14:textId="576A427D" w:rsidR="00EE1BB1" w:rsidRPr="00472692" w:rsidRDefault="00EE1BB1" w:rsidP="00EE1BB1">
      <w:pPr>
        <w:pStyle w:val="ListParagraph"/>
        <w:numPr>
          <w:ilvl w:val="0"/>
          <w:numId w:val="6"/>
        </w:numPr>
        <w:spacing w:after="0"/>
        <w:rPr>
          <w:szCs w:val="22"/>
        </w:rPr>
      </w:pPr>
      <w:r w:rsidRPr="00472692">
        <w:rPr>
          <w:szCs w:val="22"/>
        </w:rPr>
        <w:t xml:space="preserve">V prípade nového nákupu licencií je potrebné zabezpečiť ich jednotné a homogénne nastavenie. </w:t>
      </w:r>
    </w:p>
    <w:p w14:paraId="701EF749" w14:textId="3AAA65F7" w:rsidR="00EE1BB1" w:rsidRPr="00472692" w:rsidRDefault="00EE1BB1" w:rsidP="00EE1BB1">
      <w:pPr>
        <w:pStyle w:val="ListParagraph"/>
        <w:numPr>
          <w:ilvl w:val="0"/>
          <w:numId w:val="6"/>
        </w:numPr>
        <w:spacing w:after="0"/>
        <w:rPr>
          <w:szCs w:val="22"/>
        </w:rPr>
      </w:pPr>
      <w:r w:rsidRPr="00472692">
        <w:rPr>
          <w:szCs w:val="22"/>
        </w:rPr>
        <w:t xml:space="preserve">Rotácia zariadení je bezproblémová a plne vyhovujúca. </w:t>
      </w:r>
    </w:p>
    <w:p w14:paraId="72B9B659" w14:textId="46EA4758" w:rsidR="00FB2342" w:rsidRPr="00472692" w:rsidRDefault="00EE1BB1" w:rsidP="00E82308">
      <w:pPr>
        <w:pStyle w:val="ListParagraph"/>
        <w:numPr>
          <w:ilvl w:val="0"/>
          <w:numId w:val="6"/>
        </w:numPr>
        <w:spacing w:after="0"/>
        <w:rPr>
          <w:szCs w:val="22"/>
        </w:rPr>
      </w:pPr>
      <w:r w:rsidRPr="00472692">
        <w:rPr>
          <w:szCs w:val="22"/>
        </w:rPr>
        <w:t>Výmena zariadení je realizovaná bezodplatne.</w:t>
      </w:r>
    </w:p>
    <w:p w14:paraId="055DEA2E" w14:textId="139581C5" w:rsidR="00E877FE" w:rsidRPr="00472692" w:rsidRDefault="00E877FE" w:rsidP="00923B15">
      <w:pPr>
        <w:pStyle w:val="ListParagraph"/>
        <w:numPr>
          <w:ilvl w:val="0"/>
          <w:numId w:val="6"/>
        </w:numPr>
        <w:spacing w:after="0"/>
        <w:rPr>
          <w:szCs w:val="22"/>
        </w:rPr>
      </w:pPr>
      <w:r w:rsidRPr="00472692">
        <w:rPr>
          <w:szCs w:val="22"/>
        </w:rPr>
        <w:t>Zmenu technických parametrov</w:t>
      </w:r>
      <w:r w:rsidR="00DA151B" w:rsidRPr="00472692">
        <w:rPr>
          <w:szCs w:val="22"/>
        </w:rPr>
        <w:t xml:space="preserve"> v súlade s odporúčaniami vo vyplnenom dotazníku </w:t>
      </w:r>
      <w:r w:rsidR="009C5693">
        <w:rPr>
          <w:szCs w:val="22"/>
        </w:rPr>
        <w:t xml:space="preserve">účastníka </w:t>
      </w:r>
      <w:r w:rsidR="003C13F4" w:rsidRPr="00472692">
        <w:rPr>
          <w:szCs w:val="22"/>
        </w:rPr>
        <w:t xml:space="preserve"> </w:t>
      </w:r>
      <w:r w:rsidR="001A6AFD" w:rsidRPr="00472692">
        <w:rPr>
          <w:szCs w:val="22"/>
        </w:rPr>
        <w:t>doručenom NBS</w:t>
      </w:r>
      <w:r w:rsidR="003C13F4" w:rsidRPr="00472692">
        <w:rPr>
          <w:szCs w:val="22"/>
        </w:rPr>
        <w:t xml:space="preserve"> dňa 16.02.2026</w:t>
      </w:r>
      <w:r w:rsidR="001A6AFD" w:rsidRPr="00472692">
        <w:rPr>
          <w:szCs w:val="22"/>
        </w:rPr>
        <w:t xml:space="preserve"> (najmä veľkosť </w:t>
      </w:r>
      <w:r w:rsidRPr="00472692">
        <w:rPr>
          <w:szCs w:val="22"/>
        </w:rPr>
        <w:t>p</w:t>
      </w:r>
      <w:r w:rsidRPr="00472692">
        <w:rPr>
          <w:rFonts w:eastAsia="Calibri"/>
          <w:szCs w:val="22"/>
        </w:rPr>
        <w:t>amä</w:t>
      </w:r>
      <w:r w:rsidR="001A6AFD" w:rsidRPr="00472692">
        <w:rPr>
          <w:rFonts w:eastAsia="Calibri"/>
          <w:szCs w:val="22"/>
        </w:rPr>
        <w:t>te</w:t>
      </w:r>
      <w:r w:rsidRPr="00472692">
        <w:rPr>
          <w:rFonts w:eastAsia="Calibri"/>
          <w:szCs w:val="22"/>
        </w:rPr>
        <w:t xml:space="preserve"> zariadenia, odstránenie </w:t>
      </w:r>
      <w:r w:rsidRPr="00472692">
        <w:rPr>
          <w:szCs w:val="22"/>
        </w:rPr>
        <w:t>bezspinkového zošívania, zjednotenie obojstranného podávača dokumentov pre zariadenie typu A aj B</w:t>
      </w:r>
      <w:r w:rsidR="001A6AFD" w:rsidRPr="00472692">
        <w:rPr>
          <w:szCs w:val="22"/>
        </w:rPr>
        <w:t xml:space="preserve">, </w:t>
      </w:r>
      <w:r w:rsidR="00DA151B" w:rsidRPr="00472692">
        <w:rPr>
          <w:szCs w:val="22"/>
        </w:rPr>
        <w:t xml:space="preserve">kapacita </w:t>
      </w:r>
      <w:r w:rsidR="001A6AFD" w:rsidRPr="00472692">
        <w:rPr>
          <w:szCs w:val="22"/>
        </w:rPr>
        <w:t>podávača</w:t>
      </w:r>
      <w:r w:rsidRPr="00472692">
        <w:rPr>
          <w:szCs w:val="22"/>
        </w:rPr>
        <w:t>, zjednotenie rýchlosti tlače pre zariadenia typu A aj B</w:t>
      </w:r>
      <w:r w:rsidR="001A6AFD" w:rsidRPr="00472692">
        <w:rPr>
          <w:szCs w:val="22"/>
        </w:rPr>
        <w:t xml:space="preserve">, </w:t>
      </w:r>
      <w:r w:rsidR="00DA151B" w:rsidRPr="00472692">
        <w:rPr>
          <w:szCs w:val="22"/>
        </w:rPr>
        <w:t xml:space="preserve">rýchlosť </w:t>
      </w:r>
      <w:r w:rsidR="001A6AFD" w:rsidRPr="00472692">
        <w:rPr>
          <w:szCs w:val="22"/>
        </w:rPr>
        <w:t>tlače</w:t>
      </w:r>
      <w:r w:rsidRPr="00472692">
        <w:rPr>
          <w:szCs w:val="22"/>
        </w:rPr>
        <w:t xml:space="preserve">, </w:t>
      </w:r>
      <w:r w:rsidR="001A6AFD" w:rsidRPr="00472692">
        <w:rPr>
          <w:szCs w:val="22"/>
        </w:rPr>
        <w:t xml:space="preserve">pri zariadení </w:t>
      </w:r>
      <w:r w:rsidRPr="00472692">
        <w:rPr>
          <w:szCs w:val="22"/>
        </w:rPr>
        <w:t>typu C</w:t>
      </w:r>
      <w:r w:rsidRPr="00472692">
        <w:rPr>
          <w:rFonts w:eastAsia="Calibri"/>
          <w:szCs w:val="22"/>
        </w:rPr>
        <w:t xml:space="preserve"> požiadavka na limit rozmerov</w:t>
      </w:r>
      <w:r w:rsidR="001A6AFD" w:rsidRPr="00472692">
        <w:rPr>
          <w:rFonts w:eastAsia="Calibri"/>
          <w:szCs w:val="22"/>
        </w:rPr>
        <w:t>)</w:t>
      </w:r>
      <w:r w:rsidRPr="00472692">
        <w:rPr>
          <w:rFonts w:eastAsia="Calibri"/>
          <w:szCs w:val="22"/>
        </w:rPr>
        <w:t>.</w:t>
      </w:r>
    </w:p>
    <w:sectPr w:rsidR="00E877FE" w:rsidRPr="00472692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FF6F0" w14:textId="77777777" w:rsidR="00934E72" w:rsidRDefault="00934E72">
      <w:pPr>
        <w:spacing w:after="0" w:line="240" w:lineRule="auto"/>
      </w:pPr>
      <w:r>
        <w:separator/>
      </w:r>
    </w:p>
  </w:endnote>
  <w:endnote w:type="continuationSeparator" w:id="0">
    <w:p w14:paraId="6AB8E5E3" w14:textId="77777777" w:rsidR="00934E72" w:rsidRDefault="00934E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;Arial">
    <w:altName w:val="Arial"/>
    <w:panose1 w:val="00000000000000000000"/>
    <w:charset w:val="00"/>
    <w:family w:val="roman"/>
    <w:notTrueType/>
    <w:pitch w:val="default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Droid Sans Devanagari">
    <w:altName w:val="Segoe UI"/>
    <w:panose1 w:val="00000000000000000000"/>
    <w:charset w:val="00"/>
    <w:family w:val="roman"/>
    <w:notTrueType/>
    <w:pitch w:val="default"/>
  </w:font>
  <w:font w:name="Minion Pro">
    <w:altName w:val="Cambria"/>
    <w:charset w:val="01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54571410"/>
      <w:docPartObj>
        <w:docPartGallery w:val="Page Numbers (Bottom of Page)"/>
        <w:docPartUnique/>
      </w:docPartObj>
    </w:sdtPr>
    <w:sdtEndPr/>
    <w:sdtContent>
      <w:p w14:paraId="3D672578" w14:textId="3683A76F" w:rsidR="00FB2342" w:rsidRDefault="00A6135D">
        <w:pPr>
          <w:pStyle w:val="Footer"/>
          <w:jc w:val="both"/>
          <w:rPr>
            <w:sz w:val="20"/>
          </w:rPr>
        </w:pPr>
        <w:r>
          <w:rPr>
            <w:sz w:val="20"/>
          </w:rPr>
          <w:fldChar w:fldCharType="begin"/>
        </w:r>
        <w:r>
          <w:rPr>
            <w:sz w:val="20"/>
          </w:rPr>
          <w:instrText xml:space="preserve"> PAGE </w:instrText>
        </w:r>
        <w:r>
          <w:rPr>
            <w:sz w:val="20"/>
          </w:rPr>
          <w:fldChar w:fldCharType="separate"/>
        </w:r>
        <w:r>
          <w:rPr>
            <w:sz w:val="20"/>
          </w:rPr>
          <w:t>4</w:t>
        </w:r>
        <w:r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4DF23" w14:textId="77777777" w:rsidR="00934E72" w:rsidRDefault="00934E72">
      <w:pPr>
        <w:spacing w:after="0" w:line="240" w:lineRule="auto"/>
      </w:pPr>
      <w:r>
        <w:separator/>
      </w:r>
    </w:p>
  </w:footnote>
  <w:footnote w:type="continuationSeparator" w:id="0">
    <w:p w14:paraId="5D08A5DF" w14:textId="77777777" w:rsidR="00934E72" w:rsidRDefault="00934E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C7A2A" w14:textId="16A68B97" w:rsidR="00FB2342" w:rsidRDefault="00FB2342">
    <w:pPr>
      <w:pStyle w:val="Header"/>
      <w:jc w:val="center"/>
    </w:pPr>
  </w:p>
  <w:p w14:paraId="6987536E" w14:textId="77777777" w:rsidR="00FB2342" w:rsidRDefault="00FB2342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5388A"/>
    <w:multiLevelType w:val="hybridMultilevel"/>
    <w:tmpl w:val="C9D20F4E"/>
    <w:lvl w:ilvl="0" w:tplc="24BCC31E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F457D"/>
    <w:multiLevelType w:val="hybridMultilevel"/>
    <w:tmpl w:val="E0604CB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1C3F6E"/>
    <w:multiLevelType w:val="multilevel"/>
    <w:tmpl w:val="5A58576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ECB3596"/>
    <w:multiLevelType w:val="multilevel"/>
    <w:tmpl w:val="19309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 w15:restartNumberingAfterBreak="0">
    <w:nsid w:val="49A91B69"/>
    <w:multiLevelType w:val="hybridMultilevel"/>
    <w:tmpl w:val="15BAE740"/>
    <w:lvl w:ilvl="0" w:tplc="6D385D12">
      <w:start w:val="1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DB2D8D"/>
    <w:multiLevelType w:val="hybridMultilevel"/>
    <w:tmpl w:val="F1529122"/>
    <w:lvl w:ilvl="0" w:tplc="614E4824">
      <w:numFmt w:val="bullet"/>
      <w:lvlText w:val="-"/>
      <w:lvlJc w:val="left"/>
      <w:pPr>
        <w:ind w:left="720" w:hanging="360"/>
      </w:pPr>
      <w:rPr>
        <w:rFonts w:ascii="Cambria" w:eastAsia="Calibri" w:hAnsi="Cambria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5A0F3D"/>
    <w:multiLevelType w:val="hybridMultilevel"/>
    <w:tmpl w:val="7A103D4C"/>
    <w:lvl w:ilvl="0" w:tplc="61904DF8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6764089">
    <w:abstractNumId w:val="3"/>
  </w:num>
  <w:num w:numId="2" w16cid:durableId="454104919">
    <w:abstractNumId w:val="2"/>
  </w:num>
  <w:num w:numId="3" w16cid:durableId="419956867">
    <w:abstractNumId w:val="5"/>
  </w:num>
  <w:num w:numId="4" w16cid:durableId="1765032761">
    <w:abstractNumId w:val="0"/>
  </w:num>
  <w:num w:numId="5" w16cid:durableId="2032611652">
    <w:abstractNumId w:val="6"/>
  </w:num>
  <w:num w:numId="6" w16cid:durableId="1039207759">
    <w:abstractNumId w:val="4"/>
  </w:num>
  <w:num w:numId="7" w16cid:durableId="1814072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342"/>
    <w:rsid w:val="000001A6"/>
    <w:rsid w:val="00012B6C"/>
    <w:rsid w:val="000447C0"/>
    <w:rsid w:val="00057149"/>
    <w:rsid w:val="000724B9"/>
    <w:rsid w:val="00082665"/>
    <w:rsid w:val="000B6B3A"/>
    <w:rsid w:val="000C2CD3"/>
    <w:rsid w:val="0012606B"/>
    <w:rsid w:val="00170016"/>
    <w:rsid w:val="0018641F"/>
    <w:rsid w:val="0019780B"/>
    <w:rsid w:val="001A34FE"/>
    <w:rsid w:val="001A6AFD"/>
    <w:rsid w:val="00256D30"/>
    <w:rsid w:val="002764F6"/>
    <w:rsid w:val="002F3E51"/>
    <w:rsid w:val="003055E0"/>
    <w:rsid w:val="0031081B"/>
    <w:rsid w:val="003155EE"/>
    <w:rsid w:val="00357E0A"/>
    <w:rsid w:val="00372AD1"/>
    <w:rsid w:val="0039413A"/>
    <w:rsid w:val="003B69E2"/>
    <w:rsid w:val="003C13F4"/>
    <w:rsid w:val="003E1C30"/>
    <w:rsid w:val="0044648F"/>
    <w:rsid w:val="00454B11"/>
    <w:rsid w:val="00472692"/>
    <w:rsid w:val="004930AB"/>
    <w:rsid w:val="004A05A0"/>
    <w:rsid w:val="004B2D97"/>
    <w:rsid w:val="004B53FF"/>
    <w:rsid w:val="004E40DA"/>
    <w:rsid w:val="004F0DF9"/>
    <w:rsid w:val="004F3A23"/>
    <w:rsid w:val="00502450"/>
    <w:rsid w:val="005245EF"/>
    <w:rsid w:val="005407FB"/>
    <w:rsid w:val="0059288A"/>
    <w:rsid w:val="0059764B"/>
    <w:rsid w:val="005A7F64"/>
    <w:rsid w:val="005E3840"/>
    <w:rsid w:val="00606355"/>
    <w:rsid w:val="006302AA"/>
    <w:rsid w:val="006565E1"/>
    <w:rsid w:val="0066279F"/>
    <w:rsid w:val="00680BAE"/>
    <w:rsid w:val="0068687B"/>
    <w:rsid w:val="006D76BF"/>
    <w:rsid w:val="00702657"/>
    <w:rsid w:val="0071293D"/>
    <w:rsid w:val="007250DA"/>
    <w:rsid w:val="0075233A"/>
    <w:rsid w:val="00767783"/>
    <w:rsid w:val="007B1625"/>
    <w:rsid w:val="007C09DC"/>
    <w:rsid w:val="00860962"/>
    <w:rsid w:val="008855E2"/>
    <w:rsid w:val="008C3310"/>
    <w:rsid w:val="008D2565"/>
    <w:rsid w:val="008D2D39"/>
    <w:rsid w:val="00923B15"/>
    <w:rsid w:val="00934E72"/>
    <w:rsid w:val="00942543"/>
    <w:rsid w:val="009C102F"/>
    <w:rsid w:val="009C5693"/>
    <w:rsid w:val="009C73F4"/>
    <w:rsid w:val="00A12BD9"/>
    <w:rsid w:val="00A6135D"/>
    <w:rsid w:val="00AB597E"/>
    <w:rsid w:val="00AF0D6D"/>
    <w:rsid w:val="00B05C62"/>
    <w:rsid w:val="00B209CB"/>
    <w:rsid w:val="00B50F88"/>
    <w:rsid w:val="00B5660B"/>
    <w:rsid w:val="00B732D5"/>
    <w:rsid w:val="00B93090"/>
    <w:rsid w:val="00B93B0B"/>
    <w:rsid w:val="00C1013D"/>
    <w:rsid w:val="00C409B6"/>
    <w:rsid w:val="00C4674C"/>
    <w:rsid w:val="00C6662D"/>
    <w:rsid w:val="00C726C2"/>
    <w:rsid w:val="00C81E35"/>
    <w:rsid w:val="00CD2B4A"/>
    <w:rsid w:val="00CF3872"/>
    <w:rsid w:val="00D00CD5"/>
    <w:rsid w:val="00D2762B"/>
    <w:rsid w:val="00D56956"/>
    <w:rsid w:val="00D73EE0"/>
    <w:rsid w:val="00DA151B"/>
    <w:rsid w:val="00DC2395"/>
    <w:rsid w:val="00DF7E95"/>
    <w:rsid w:val="00E22101"/>
    <w:rsid w:val="00E349E8"/>
    <w:rsid w:val="00E477A8"/>
    <w:rsid w:val="00E566D5"/>
    <w:rsid w:val="00E7057E"/>
    <w:rsid w:val="00E82308"/>
    <w:rsid w:val="00E877FE"/>
    <w:rsid w:val="00EB41DE"/>
    <w:rsid w:val="00EC500A"/>
    <w:rsid w:val="00EE1BB1"/>
    <w:rsid w:val="00F00672"/>
    <w:rsid w:val="00F04468"/>
    <w:rsid w:val="00F05B76"/>
    <w:rsid w:val="00F223B3"/>
    <w:rsid w:val="00F267C4"/>
    <w:rsid w:val="00F56342"/>
    <w:rsid w:val="00FB1775"/>
    <w:rsid w:val="00FB2342"/>
    <w:rsid w:val="00FC3B50"/>
    <w:rsid w:val="00FE1994"/>
    <w:rsid w:val="00FE492B"/>
    <w:rsid w:val="00FF2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C8D38"/>
  <w15:docId w15:val="{D854494D-77FB-4290-B921-791D33DD3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Theme="minorHAnsi" w:hAnsi="Cambria" w:cstheme="minorBidi"/>
        <w:lang w:val="sk-SK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4381"/>
    <w:pPr>
      <w:spacing w:after="120" w:line="276" w:lineRule="auto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841D6"/>
    <w:pPr>
      <w:keepNext/>
      <w:keepLines/>
      <w:spacing w:before="240"/>
      <w:outlineLvl w:val="0"/>
    </w:pPr>
    <w:rPr>
      <w:rFonts w:ascii="Verdana" w:eastAsiaTheme="majorEastAsia" w:hAnsi="Verdana" w:cstheme="majorBidi"/>
      <w:color w:val="0067AC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841D6"/>
    <w:pPr>
      <w:keepNext/>
      <w:keepLines/>
      <w:spacing w:before="120" w:after="240"/>
      <w:outlineLvl w:val="1"/>
    </w:pPr>
    <w:rPr>
      <w:rFonts w:ascii="Verdana" w:eastAsiaTheme="majorEastAsia" w:hAnsi="Verdana" w:cstheme="majorBidi"/>
      <w:color w:val="0067AC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841D6"/>
    <w:pPr>
      <w:keepNext/>
      <w:keepLines/>
      <w:spacing w:before="240"/>
      <w:outlineLvl w:val="2"/>
    </w:pPr>
    <w:rPr>
      <w:rFonts w:ascii="Verdana" w:eastAsiaTheme="majorEastAsia" w:hAnsi="Verdana" w:cstheme="majorBidi"/>
      <w:color w:val="0067A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9841D6"/>
    <w:rPr>
      <w:rFonts w:ascii="Verdana" w:eastAsiaTheme="majorEastAsia" w:hAnsi="Verdana" w:cstheme="majorBidi"/>
      <w:color w:val="0067AC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9841D6"/>
    <w:rPr>
      <w:rFonts w:ascii="Verdana" w:eastAsiaTheme="majorEastAsia" w:hAnsi="Verdana" w:cstheme="majorBidi"/>
      <w:color w:val="0067AC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9841D6"/>
    <w:rPr>
      <w:rFonts w:ascii="Verdana" w:eastAsiaTheme="majorEastAsia" w:hAnsi="Verdana" w:cstheme="majorBidi"/>
      <w:color w:val="0067AC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09480D"/>
  </w:style>
  <w:style w:type="character" w:customStyle="1" w:styleId="FooterChar">
    <w:name w:val="Footer Char"/>
    <w:basedOn w:val="DefaultParagraphFont"/>
    <w:link w:val="Footer"/>
    <w:uiPriority w:val="99"/>
    <w:qFormat/>
    <w:rsid w:val="0009480D"/>
  </w:style>
  <w:style w:type="character" w:customStyle="1" w:styleId="PatickaChar">
    <w:name w:val="Paticka Char"/>
    <w:basedOn w:val="FooterChar"/>
    <w:link w:val="Paticka"/>
    <w:qFormat/>
    <w:rsid w:val="0009480D"/>
    <w:rPr>
      <w:rFonts w:ascii="Verdana" w:hAnsi="Verdana"/>
      <w:sz w:val="14"/>
    </w:rPr>
  </w:style>
  <w:style w:type="character" w:customStyle="1" w:styleId="PoznamkaChar">
    <w:name w:val="Poznamka Char"/>
    <w:basedOn w:val="DefaultParagraphFont"/>
    <w:link w:val="Poznamka"/>
    <w:qFormat/>
    <w:rsid w:val="0009480D"/>
    <w:rPr>
      <w:rFonts w:ascii="Verdana" w:hAnsi="Verdana"/>
      <w:sz w:val="14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D74496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74496"/>
    <w:rPr>
      <w:rFonts w:ascii="Calibri" w:eastAsia="Calibri" w:hAnsi="Calibri" w:cs="Times New Roma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5E4412"/>
    <w:rPr>
      <w:rFonts w:ascii="Calibri" w:eastAsia="Calibri" w:hAnsi="Calibri" w:cs="Times New Roman"/>
      <w:b/>
      <w:bCs/>
    </w:rPr>
  </w:style>
  <w:style w:type="character" w:styleId="Hyperlink">
    <w:name w:val="Hyperlink"/>
    <w:basedOn w:val="DefaultParagraphFont"/>
    <w:uiPriority w:val="99"/>
    <w:unhideWhenUsed/>
    <w:rsid w:val="00E05042"/>
    <w:rPr>
      <w:color w:val="1C355E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E05042"/>
    <w:rPr>
      <w:color w:val="605E5C"/>
      <w:shd w:val="clear" w:color="auto" w:fill="E1DFDD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ED483C"/>
  </w:style>
  <w:style w:type="character" w:customStyle="1" w:styleId="Znakyprepoznmkupodiarou">
    <w:name w:val="Znaky pre poznámku pod čiarou"/>
    <w:basedOn w:val="DefaultParagraphFont"/>
    <w:uiPriority w:val="99"/>
    <w:semiHidden/>
    <w:unhideWhenUsed/>
    <w:qFormat/>
    <w:rsid w:val="00ED483C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customStyle="1" w:styleId="ListParagraphChar">
    <w:name w:val="List Paragraph Char"/>
    <w:aliases w:val="Odsek zoznamu2 Char,ODRAZKY PRVA UROVEN Char,body Char"/>
    <w:basedOn w:val="DefaultParagraphFont"/>
    <w:link w:val="ListParagraph"/>
    <w:uiPriority w:val="99"/>
    <w:qFormat/>
    <w:locked/>
    <w:rsid w:val="00D4587E"/>
    <w:rPr>
      <w:sz w:val="22"/>
    </w:rPr>
  </w:style>
  <w:style w:type="character" w:customStyle="1" w:styleId="Odrky">
    <w:name w:val="Odrážky"/>
    <w:qFormat/>
    <w:rPr>
      <w:rFonts w:ascii="OpenSymbol" w:eastAsia="OpenSymbol" w:hAnsi="OpenSymbol" w:cs="OpenSymbol"/>
    </w:rPr>
  </w:style>
  <w:style w:type="paragraph" w:customStyle="1" w:styleId="Nadpis">
    <w:name w:val="Nadpis"/>
    <w:basedOn w:val="Normal"/>
    <w:next w:val="BodyText"/>
    <w:qFormat/>
    <w:pPr>
      <w:keepNext/>
      <w:spacing w:before="240"/>
    </w:pPr>
    <w:rPr>
      <w:rFonts w:ascii="Liberation Sans;Arial" w:eastAsia="Roboto" w:hAnsi="Liberation Sans;Arial" w:cs="Droid Sans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ascii="Times New Roman" w:hAnsi="Times New Roman" w:cs="Droid Sans Devanagari"/>
    </w:rPr>
  </w:style>
  <w:style w:type="paragraph" w:styleId="Caption">
    <w:name w:val="caption"/>
    <w:basedOn w:val="Normal"/>
    <w:qFormat/>
    <w:pPr>
      <w:suppressLineNumbers/>
      <w:spacing w:before="120"/>
    </w:pPr>
    <w:rPr>
      <w:rFonts w:ascii="Times New Roman" w:hAnsi="Times New Roman" w:cs="Droid Sans Devanagari"/>
      <w:i/>
      <w:iCs/>
      <w:sz w:val="24"/>
      <w:szCs w:val="24"/>
    </w:rPr>
  </w:style>
  <w:style w:type="paragraph" w:customStyle="1" w:styleId="Register">
    <w:name w:val="Register"/>
    <w:basedOn w:val="Normal"/>
    <w:qFormat/>
    <w:pPr>
      <w:suppressLineNumbers/>
    </w:pPr>
    <w:rPr>
      <w:rFonts w:ascii="Times New Roman" w:hAnsi="Times New Roman" w:cs="Droid Sans Devanagari"/>
    </w:rPr>
  </w:style>
  <w:style w:type="paragraph" w:styleId="NoSpacing">
    <w:name w:val="No Spacing"/>
    <w:uiPriority w:val="1"/>
    <w:qFormat/>
    <w:rsid w:val="005316F2"/>
  </w:style>
  <w:style w:type="paragraph" w:customStyle="1" w:styleId="Hlavikaapta">
    <w:name w:val="Hlavička a pät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09480D"/>
    <w:pPr>
      <w:tabs>
        <w:tab w:val="center" w:pos="4536"/>
        <w:tab w:val="right" w:pos="9072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09480D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Paticka">
    <w:name w:val="Paticka"/>
    <w:basedOn w:val="Footer"/>
    <w:link w:val="PatickaChar"/>
    <w:qFormat/>
    <w:rsid w:val="0009480D"/>
    <w:rPr>
      <w:rFonts w:ascii="Verdana" w:hAnsi="Verdana"/>
      <w:sz w:val="14"/>
    </w:rPr>
  </w:style>
  <w:style w:type="paragraph" w:customStyle="1" w:styleId="Poznamka">
    <w:name w:val="Poznamka"/>
    <w:link w:val="PoznamkaChar"/>
    <w:qFormat/>
    <w:rsid w:val="0009480D"/>
    <w:pPr>
      <w:spacing w:after="120" w:line="276" w:lineRule="auto"/>
    </w:pPr>
    <w:rPr>
      <w:rFonts w:ascii="Verdana" w:hAnsi="Verdana"/>
      <w:sz w:val="14"/>
    </w:rPr>
  </w:style>
  <w:style w:type="paragraph" w:styleId="ListParagraph">
    <w:name w:val="List Paragraph"/>
    <w:aliases w:val="Odsek zoznamu2,ODRAZKY PRVA UROVEN,body"/>
    <w:basedOn w:val="Normal"/>
    <w:link w:val="ListParagraphChar"/>
    <w:uiPriority w:val="34"/>
    <w:qFormat/>
    <w:rsid w:val="00463A65"/>
    <w:pPr>
      <w:ind w:left="720"/>
      <w:contextualSpacing/>
    </w:pPr>
  </w:style>
  <w:style w:type="paragraph" w:customStyle="1" w:styleId="BasicParagraph">
    <w:name w:val="[Basic Paragraph]"/>
    <w:basedOn w:val="Normal"/>
    <w:uiPriority w:val="99"/>
    <w:qFormat/>
    <w:rsid w:val="00D74496"/>
    <w:pPr>
      <w:spacing w:after="0" w:line="288" w:lineRule="auto"/>
      <w:textAlignment w:val="center"/>
    </w:pPr>
    <w:rPr>
      <w:rFonts w:ascii="Minion Pro" w:eastAsia="Calibri" w:hAnsi="Minion Pro" w:cs="Minion Pro"/>
      <w:color w:val="000000"/>
      <w:sz w:val="24"/>
      <w:szCs w:val="24"/>
      <w:lang w:val="en-US"/>
    </w:rPr>
  </w:style>
  <w:style w:type="paragraph" w:styleId="CommentText">
    <w:name w:val="annotation text"/>
    <w:basedOn w:val="Normal"/>
    <w:link w:val="CommentTextChar"/>
    <w:uiPriority w:val="99"/>
    <w:unhideWhenUsed/>
    <w:rsid w:val="00D74496"/>
    <w:pPr>
      <w:spacing w:after="0" w:line="240" w:lineRule="auto"/>
    </w:pPr>
    <w:rPr>
      <w:rFonts w:ascii="Calibri" w:eastAsia="Calibri" w:hAnsi="Calibri" w:cs="Times New Roman"/>
      <w:sz w:val="20"/>
    </w:rPr>
  </w:style>
  <w:style w:type="paragraph" w:styleId="Revision">
    <w:name w:val="Revision"/>
    <w:uiPriority w:val="99"/>
    <w:semiHidden/>
    <w:qFormat/>
    <w:rsid w:val="00140A62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5E4412"/>
    <w:pPr>
      <w:spacing w:after="120"/>
    </w:pPr>
    <w:rPr>
      <w:rFonts w:ascii="Cambria" w:eastAsiaTheme="minorHAnsi" w:hAnsi="Cambria" w:cstheme="minorBidi"/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D483C"/>
    <w:pPr>
      <w:spacing w:after="0" w:line="240" w:lineRule="auto"/>
    </w:pPr>
    <w:rPr>
      <w:sz w:val="20"/>
    </w:rPr>
  </w:style>
  <w:style w:type="paragraph" w:customStyle="1" w:styleId="Default">
    <w:name w:val="Default"/>
    <w:qFormat/>
    <w:rsid w:val="00C066C8"/>
    <w:rPr>
      <w:rFonts w:ascii="Calibri" w:eastAsia="Times New Roman" w:hAnsi="Calibri" w:cs="Calibri"/>
      <w:color w:val="000000"/>
      <w:sz w:val="24"/>
      <w:szCs w:val="24"/>
      <w:lang w:eastAsia="sk-SK"/>
    </w:rPr>
  </w:style>
  <w:style w:type="table" w:styleId="TableGrid">
    <w:name w:val="Table Grid"/>
    <w:basedOn w:val="TableNormal"/>
    <w:uiPriority w:val="39"/>
    <w:rsid w:val="00EB0D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NBS_Studio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0067AC"/>
      </a:accent1>
      <a:accent2>
        <a:srgbClr val="D15F27"/>
      </a:accent2>
      <a:accent3>
        <a:srgbClr val="A2A9AD"/>
      </a:accent3>
      <a:accent4>
        <a:srgbClr val="005A4E"/>
      </a:accent4>
      <a:accent5>
        <a:srgbClr val="73253E"/>
      </a:accent5>
      <a:accent6>
        <a:srgbClr val="A6835A"/>
      </a:accent6>
      <a:hlink>
        <a:srgbClr val="1C355E"/>
      </a:hlink>
      <a:folHlink>
        <a:srgbClr val="73253E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73314F-FEC5-4132-8635-00133A93A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420</Words>
  <Characters>2395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Zubeková Anna</dc:creator>
  <dc:description/>
  <cp:lastModifiedBy>Zubeková Anna</cp:lastModifiedBy>
  <cp:revision>6</cp:revision>
  <cp:lastPrinted>2025-12-15T08:52:00Z</cp:lastPrinted>
  <dcterms:created xsi:type="dcterms:W3CDTF">2026-04-01T11:32:00Z</dcterms:created>
  <dcterms:modified xsi:type="dcterms:W3CDTF">2026-05-05T06:39:00Z</dcterms:modified>
  <dc:language>sk-SK</dc:language>
</cp:coreProperties>
</file>